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 июля 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омного округа-Югры </w:t>
      </w:r>
      <w:r>
        <w:rPr>
          <w:rStyle w:val="cat-FIOgrp-3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</w:t>
      </w:r>
      <w:r>
        <w:rPr>
          <w:rFonts w:ascii="Times New Roman" w:eastAsia="Times New Roman" w:hAnsi="Times New Roman" w:cs="Times New Roman"/>
          <w:sz w:val="28"/>
          <w:szCs w:val="28"/>
        </w:rPr>
        <w:t>о производства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46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Тимкиной </w:t>
      </w:r>
      <w:r>
        <w:rPr>
          <w:rStyle w:val="cat-UserDefinedgrp-5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оказанную коммунальную услугу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Истец обратился в суд с иском к </w:t>
      </w:r>
      <w:r>
        <w:rPr>
          <w:rStyle w:val="cat-FIOgrp-35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просит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взыскать с ответчика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лицевому счету № </w:t>
      </w:r>
      <w:r>
        <w:rPr>
          <w:rStyle w:val="cat-UserDefinedgrp-5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5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37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пени – </w:t>
      </w:r>
      <w:r>
        <w:rPr>
          <w:rStyle w:val="cat-Sumgrp-38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5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уплате государственной пошлины в размере </w:t>
      </w:r>
      <w:r>
        <w:rPr>
          <w:rStyle w:val="cat-Sumgrp-3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мотивированы тем,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является собственником </w:t>
      </w:r>
      <w:r>
        <w:rPr>
          <w:rFonts w:ascii="Times New Roman" w:eastAsia="Times New Roman" w:hAnsi="Times New Roman" w:cs="Times New Roman"/>
          <w:sz w:val="28"/>
          <w:szCs w:val="28"/>
        </w:rPr>
        <w:t>объекта недвижимости, расположенного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0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6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Истец является исполнителем коммунальной услуги по обращению с твердыми коммунальными отходами (региональный оператор </w:t>
      </w:r>
      <w:r>
        <w:rPr>
          <w:rStyle w:val="cat-OrganizationNamegrp-47rplc-2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зоне деятельности </w:t>
      </w:r>
      <w:r>
        <w:rPr>
          <w:rStyle w:val="cat-Addressgrp-2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городского округа </w:t>
      </w:r>
      <w:r>
        <w:rPr>
          <w:rStyle w:val="cat-Addressgrp-3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59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предоставлена выписка из протокола общего собрания собственников </w:t>
      </w:r>
      <w:r>
        <w:rPr>
          <w:rStyle w:val="cat-UserDefinedgrp-6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принято решение о переходе на прямые договоры. Таким образом, с </w:t>
      </w:r>
      <w:r>
        <w:rPr>
          <w:rStyle w:val="cat-UserDefinedgrp-62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договор считается заключенным по типовой форме с собственником земельного участка, расположенного на </w:t>
      </w:r>
      <w:r>
        <w:rPr>
          <w:rStyle w:val="cat-Addressgrp-4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не выполняет обязательства по оплате за </w:t>
      </w:r>
      <w:r>
        <w:rPr>
          <w:rFonts w:ascii="Times New Roman" w:eastAsia="Times New Roman" w:hAnsi="Times New Roman" w:cs="Times New Roman"/>
          <w:sz w:val="28"/>
          <w:szCs w:val="28"/>
        </w:rPr>
        <w:t>оказанную коммунальную услугу, в связи чем образовалась задолженность.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23.12.2024 судебный приказ о взыскании задолженности с ответчика отменен.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о принятии искового заявления и рассмотрении его в 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направленное заказным письмом с уведомлением о вручении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вернулось в суд по истечению срока хранения.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165.1 Г</w:t>
      </w:r>
      <w:r>
        <w:rPr>
          <w:rFonts w:ascii="Times New Roman" w:eastAsia="Times New Roman" w:hAnsi="Times New Roman" w:cs="Times New Roman"/>
          <w:sz w:val="28"/>
          <w:szCs w:val="28"/>
        </w:rPr>
        <w:t>ражданского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24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остановления Пленума Верховного Суд</w:t>
      </w:r>
      <w:r>
        <w:rPr>
          <w:rFonts w:ascii="Times New Roman" w:eastAsia="Times New Roman" w:hAnsi="Times New Roman" w:cs="Times New Roman"/>
          <w:sz w:val="28"/>
          <w:szCs w:val="28"/>
        </w:rPr>
        <w:t>а РФ от 18 апреля 2017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 «</w:t>
      </w:r>
      <w:r>
        <w:rPr>
          <w:rFonts w:ascii="Times New Roman" w:eastAsia="Times New Roman" w:hAnsi="Times New Roman" w:cs="Times New Roman"/>
          <w:sz w:val="28"/>
          <w:szCs w:val="28"/>
        </w:rPr>
        <w:t>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</w:t>
      </w:r>
      <w:r>
        <w:rPr>
          <w:rFonts w:ascii="Times New Roman" w:eastAsia="Times New Roman" w:hAnsi="Times New Roman" w:cs="Times New Roman"/>
          <w:sz w:val="28"/>
          <w:szCs w:val="28"/>
        </w:rPr>
        <w:t>ации об упрощенном производстве»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предусматривает, что лица, участвующие в деле, рассматриваемом в порядке упрощенного производства, считаются получившими копии определения о принятии искового заявления (заявления) к производству и рассмотрении дела в порядке упрощенного производства, если ко дню принятия решения суд располагает доказательствами вручения им соответствующих копий, направленных заказным письмом с уведомлением о вручении (часть первая статьи 113 ГПК РФ, часть 1 статьи 122 АПК РФ), а также в случаях, указанных в частях второй-четвертой статьи 116 ГПК РФ, в частях 2-5 статьи 123 АПК РФ, или иными доказательствами получения лицами, участвующими в деле, информации о начавшемся судебном процессе.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Также, лица, участвующие в деле, извещены о дате, месте и времени проведения судебного заседания, в том числе публично, путем размещения информации о дате, месте и времени судебного заседания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сайте http://www.mirsud86.ru/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ировых судей Ханты-Мансийского автономного округа-Югры.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Исследовав письменные материалы дела, мировой судья пришел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56 Гражданского процессуального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</w:t>
      </w:r>
      <w:r>
        <w:rPr>
          <w:rFonts w:ascii="Times New Roman" w:eastAsia="Times New Roman" w:hAnsi="Times New Roman" w:cs="Times New Roman"/>
          <w:sz w:val="28"/>
          <w:szCs w:val="28"/>
        </w:rPr>
        <w:t>309, 310 Г</w:t>
      </w:r>
      <w:r>
        <w:rPr>
          <w:rFonts w:ascii="Times New Roman" w:eastAsia="Times New Roman" w:hAnsi="Times New Roman" w:cs="Times New Roman"/>
          <w:sz w:val="28"/>
          <w:szCs w:val="28"/>
        </w:rPr>
        <w:t>ражданского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 Односторонний отказ от исполнения обязательств и одностороннее изменение его условий не допускаются, за исключением случаев, предусмотренных законом.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210 Г</w:t>
      </w:r>
      <w:r>
        <w:rPr>
          <w:rFonts w:ascii="Times New Roman" w:eastAsia="Times New Roman" w:hAnsi="Times New Roman" w:cs="Times New Roman"/>
          <w:sz w:val="28"/>
          <w:szCs w:val="28"/>
        </w:rPr>
        <w:t>ражданского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 несет бремя содержания своего имущества.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 несет бремя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принадлежащего ему имущества, если иное не предусмотрено законом или договором.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153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граждане обязаны своевременно и полностью вносить плату за жилое помещение и коммунальные услуги.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OrganizationNamegrp-47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региональным оператором по обращению с твердыми коммунальными отходами.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Style w:val="cat-Addressgrp-5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154 </w:t>
      </w:r>
      <w:r>
        <w:rPr>
          <w:rStyle w:val="cat-Addressgrp-8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Style w:val="cat-Addressgrp-5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155 </w:t>
      </w:r>
      <w:r>
        <w:rPr>
          <w:rStyle w:val="cat-Addressgrp-9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статей 12, 56 Гражданского процессуального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судопроизводство осуществляется на основе состязательности и равноправия сторон, каждая сторона должна доказать те обстоятельства, на которые она ссылается как на основания своих требований и возражений.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(ст.ст.55, 67 ГПК РФ).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установлено, что ответчик имеет в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 недвижимости, расположенный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0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</w:t>
      </w:r>
      <w:r>
        <w:rPr>
          <w:rFonts w:ascii="Times New Roman" w:eastAsia="Times New Roman" w:hAnsi="Times New Roman" w:cs="Times New Roman"/>
          <w:sz w:val="28"/>
          <w:szCs w:val="28"/>
        </w:rPr>
        <w:t>ся материалами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Приказами Региональной службы по тарифам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№ 54-нп от 18.10.2018, №1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2-нп от 19.12.2018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№15-нп от 26.03.2019,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48-нп от 21.06.2019, </w:t>
      </w:r>
      <w:r>
        <w:rPr>
          <w:rFonts w:ascii="Times New Roman" w:eastAsia="Times New Roman" w:hAnsi="Times New Roman" w:cs="Times New Roman"/>
          <w:sz w:val="28"/>
          <w:szCs w:val="28"/>
        </w:rPr>
        <w:t>№56-нп от 16.07.2019, №</w:t>
      </w:r>
      <w:r>
        <w:rPr>
          <w:rFonts w:ascii="Times New Roman" w:eastAsia="Times New Roman" w:hAnsi="Times New Roman" w:cs="Times New Roman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sz w:val="28"/>
          <w:szCs w:val="28"/>
        </w:rPr>
        <w:t>-нп от 19.12.2019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№ 167-нп от 19.12.2019, № 4-нп от 18.02.2020, № 120-нп от 18.12.2020, № 52-нп от 26.08.2021, № </w:t>
      </w:r>
      <w:r>
        <w:rPr>
          <w:rFonts w:ascii="Times New Roman" w:eastAsia="Times New Roman" w:hAnsi="Times New Roman" w:cs="Times New Roman"/>
          <w:sz w:val="28"/>
          <w:szCs w:val="28"/>
        </w:rPr>
        <w:t>144-нп от 16.12.2021, № 10-нп от 03.03.2022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 единый тариф на услуги по обращению с твердыми бытовыми отходами.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расчета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лицевому счету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188115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ответчика перед истцом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основному долгу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29.11.2021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31.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40rplc-5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настоящего времени задолженность ответчиком не погашена.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Судом проверен представленный расчет и суд признает его верным. Оснований сомневаться в правильности начисления истцом ежемесячных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коммунальных </w:t>
      </w:r>
      <w:r>
        <w:rPr>
          <w:rFonts w:ascii="Times New Roman" w:eastAsia="Times New Roman" w:hAnsi="Times New Roman" w:cs="Times New Roman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sz w:val="28"/>
          <w:szCs w:val="28"/>
        </w:rPr>
        <w:t>ежей суд не усматривает. Расчеты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произведены с указанием периодов расчета, сумм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начислений, является подробным и </w:t>
      </w:r>
      <w:r>
        <w:rPr>
          <w:rFonts w:ascii="Times New Roman" w:eastAsia="Times New Roman" w:hAnsi="Times New Roman" w:cs="Times New Roman"/>
          <w:sz w:val="28"/>
          <w:szCs w:val="28"/>
        </w:rPr>
        <w:t>понятным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Расчеты ответчиком не оспорены, как и то обстоятельство, что оказанием услуг занимался истец.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установленных обстоятельств, принимая во внимание положения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210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ражданского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статей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, 153 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илищного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ответчик, являясь собственником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объекта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, обязан нести бремя содержания принадлежащего имущества, в связи с чем, имее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обязанность перед истцом, как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осуществляющей предоставление коммунальных услуг, осуществлять оплату предоставляемых коммунальных услуг.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исковые требования </w:t>
      </w:r>
      <w:r>
        <w:rPr>
          <w:rStyle w:val="cat-OrganizationNamegrp-47rplc-6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35rplc-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коммунальную услугу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29.11.2021 по 31.08.2024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40rplc-6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подлежат удовлетворению.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anchor="/document/12138291/entry/1550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14 </w:t>
        </w:r>
        <w:r>
          <w:rPr>
            <w:rStyle w:val="cat-Addressgrp-5rplc-65"/>
            <w:rFonts w:ascii="Times New Roman" w:eastAsia="Times New Roman" w:hAnsi="Times New Roman" w:cs="Times New Roman"/>
            <w:color w:val="0000EE"/>
            <w:sz w:val="28"/>
            <w:szCs w:val="28"/>
          </w:rPr>
          <w:t>адрес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9rplc-6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лица, несвоевременно и (или) полностью внесшие плату за жилое помещение и коммунальные услуги (должники), обязаны уплатить кредитору пени в размере одной трехсотой ставки рефинансирования Центрального </w:t>
      </w:r>
      <w:r>
        <w:rPr>
          <w:rStyle w:val="cat-OrganizationNamegrp-48rplc-6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действующей на момент оплаты, от невыплаченных в срок сумм,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ответчик не исполнил свои обязательства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29.11.2021 по 31.08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.2024 газа, на основании </w:t>
      </w:r>
      <w:hyperlink r:id="rId4" w:anchor="/document/12138291/entry/1550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п.14 </w:t>
        </w:r>
        <w:r>
          <w:rPr>
            <w:rStyle w:val="cat-Addressgrp-5rplc-71"/>
            <w:rFonts w:ascii="Times New Roman" w:eastAsia="Times New Roman" w:hAnsi="Times New Roman" w:cs="Times New Roman"/>
            <w:color w:val="0000EE"/>
            <w:sz w:val="28"/>
            <w:szCs w:val="28"/>
          </w:rPr>
          <w:t>адрес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ст.155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9rplc-7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а РФ, требования истца о взыскании пени за просрочку платежа, суд полагает законными и обоснованными, с ответчика в пользу истца подлежат взысканию пени, согласно представленному и не оспоренному 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расчету истца, за период с 01.07.2022 по 31.08.2024 в размере </w:t>
      </w:r>
      <w:r>
        <w:rPr>
          <w:rStyle w:val="cat-Sumgrp-38rplc-7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4" w:anchor="/document/12128809/entry/9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статей 94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/document/12128809/entry/9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ответчика в пользу истца подлежат взысканию расходы по оплате государственной пошлины в размере </w:t>
      </w:r>
      <w:r>
        <w:rPr>
          <w:rStyle w:val="cat-Sumgrp-39rplc-7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подтвержденные документально.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ерации, 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46rplc-7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Тимкиной </w:t>
      </w:r>
      <w:r>
        <w:rPr>
          <w:rStyle w:val="cat-UserDefinedgrp-51rplc-7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оказанную коммунальную услугу по обращению с твердыми коммунальными отходами 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Тимкиной </w:t>
      </w:r>
      <w:r>
        <w:rPr>
          <w:rStyle w:val="cat-UserDefinedgrp-53rplc-7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45rplc-8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50rplc-8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46rplc-8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8601065381)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оказанную коммунальную услугу по обращению с твердыми коммунальными отходами по объекту, расположенному по адресу: </w:t>
      </w:r>
      <w:r>
        <w:rPr>
          <w:rStyle w:val="cat-Addressgrp-0rplc-8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4rplc-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(лицевой счет № </w:t>
      </w:r>
      <w:r>
        <w:rPr>
          <w:rStyle w:val="cat-UserDefinedgrp-55rplc-8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41rplc-8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63rplc-8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пени за период с </w:t>
      </w:r>
      <w:r>
        <w:rPr>
          <w:rStyle w:val="cat-UserDefinedgrp-58rplc-9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42rplc-9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Style w:val="cat-Sumgrp-43rplc-9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44rplc-9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9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ешение составлено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принято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сентября 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Style w:val="cat-FIOgrp-36rplc-9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36rplc-9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9" w:lineRule="auto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3176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34rplc-3">
    <w:name w:val="cat-FIO grp-34 rplc-3"/>
    <w:basedOn w:val="DefaultParagraphFont"/>
  </w:style>
  <w:style w:type="character" w:customStyle="1" w:styleId="cat-OrganizationNamegrp-46rplc-4">
    <w:name w:val="cat-OrganizationName grp-46 rplc-4"/>
    <w:basedOn w:val="DefaultParagraphFont"/>
  </w:style>
  <w:style w:type="character" w:customStyle="1" w:styleId="cat-UserDefinedgrp-51rplc-6">
    <w:name w:val="cat-UserDefined grp-51 rplc-6"/>
    <w:basedOn w:val="DefaultParagraphFont"/>
  </w:style>
  <w:style w:type="character" w:customStyle="1" w:styleId="cat-FIOgrp-35rplc-7">
    <w:name w:val="cat-FIO grp-35 rplc-7"/>
    <w:basedOn w:val="DefaultParagraphFont"/>
  </w:style>
  <w:style w:type="character" w:customStyle="1" w:styleId="cat-UserDefinedgrp-52rplc-8">
    <w:name w:val="cat-UserDefined grp-52 rplc-8"/>
    <w:basedOn w:val="DefaultParagraphFont"/>
  </w:style>
  <w:style w:type="character" w:customStyle="1" w:styleId="cat-UserDefinedgrp-57rplc-10">
    <w:name w:val="cat-UserDefined grp-57 rplc-10"/>
    <w:basedOn w:val="DefaultParagraphFont"/>
  </w:style>
  <w:style w:type="character" w:customStyle="1" w:styleId="cat-Sumgrp-37rplc-12">
    <w:name w:val="cat-Sum grp-37 rplc-12"/>
    <w:basedOn w:val="DefaultParagraphFont"/>
  </w:style>
  <w:style w:type="character" w:customStyle="1" w:styleId="cat-Sumgrp-38rplc-13">
    <w:name w:val="cat-Sum grp-38 rplc-13"/>
    <w:basedOn w:val="DefaultParagraphFont"/>
  </w:style>
  <w:style w:type="character" w:customStyle="1" w:styleId="cat-UserDefinedgrp-58rplc-15">
    <w:name w:val="cat-UserDefined grp-58 rplc-15"/>
    <w:basedOn w:val="DefaultParagraphFont"/>
  </w:style>
  <w:style w:type="character" w:customStyle="1" w:styleId="cat-Sumgrp-39rplc-17">
    <w:name w:val="cat-Sum grp-39 rplc-17"/>
    <w:basedOn w:val="DefaultParagraphFont"/>
  </w:style>
  <w:style w:type="character" w:customStyle="1" w:styleId="cat-Addressgrp-0rplc-18">
    <w:name w:val="cat-Address grp-0 rplc-18"/>
    <w:basedOn w:val="DefaultParagraphFont"/>
  </w:style>
  <w:style w:type="character" w:customStyle="1" w:styleId="cat-UserDefinedgrp-60rplc-19">
    <w:name w:val="cat-UserDefined grp-60 rplc-19"/>
    <w:basedOn w:val="DefaultParagraphFont"/>
  </w:style>
  <w:style w:type="character" w:customStyle="1" w:styleId="cat-OrganizationNamegrp-47rplc-20">
    <w:name w:val="cat-OrganizationName grp-47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Addressgrp-3rplc-22">
    <w:name w:val="cat-Address grp-3 rplc-22"/>
    <w:basedOn w:val="DefaultParagraphFont"/>
  </w:style>
  <w:style w:type="character" w:customStyle="1" w:styleId="cat-UserDefinedgrp-59rplc-23">
    <w:name w:val="cat-UserDefined grp-59 rplc-23"/>
    <w:basedOn w:val="DefaultParagraphFont"/>
  </w:style>
  <w:style w:type="character" w:customStyle="1" w:styleId="cat-UserDefinedgrp-61rplc-24">
    <w:name w:val="cat-UserDefined grp-61 rplc-24"/>
    <w:basedOn w:val="DefaultParagraphFont"/>
  </w:style>
  <w:style w:type="character" w:customStyle="1" w:styleId="cat-UserDefinedgrp-62rplc-26">
    <w:name w:val="cat-UserDefined grp-62 rplc-26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OrganizationNamegrp-47rplc-36">
    <w:name w:val="cat-OrganizationName grp-47 rplc-36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Addressgrp-9rplc-42">
    <w:name w:val="cat-Address grp-9 rplc-42"/>
    <w:basedOn w:val="DefaultParagraphFont"/>
  </w:style>
  <w:style w:type="character" w:customStyle="1" w:styleId="cat-Addressgrp-0rplc-43">
    <w:name w:val="cat-Address grp-0 rplc-43"/>
    <w:basedOn w:val="DefaultParagraphFont"/>
  </w:style>
  <w:style w:type="character" w:customStyle="1" w:styleId="cat-UserDefinedgrp-56rplc-44">
    <w:name w:val="cat-UserDefined grp-56 rplc-44"/>
    <w:basedOn w:val="DefaultParagraphFont"/>
  </w:style>
  <w:style w:type="character" w:customStyle="1" w:styleId="cat-Sumgrp-40rplc-59">
    <w:name w:val="cat-Sum grp-40 rplc-59"/>
    <w:basedOn w:val="DefaultParagraphFont"/>
  </w:style>
  <w:style w:type="character" w:customStyle="1" w:styleId="cat-OrganizationNamegrp-47rplc-60">
    <w:name w:val="cat-OrganizationName grp-47 rplc-60"/>
    <w:basedOn w:val="DefaultParagraphFont"/>
  </w:style>
  <w:style w:type="character" w:customStyle="1" w:styleId="cat-FIOgrp-35rplc-61">
    <w:name w:val="cat-FIO grp-35 rplc-61"/>
    <w:basedOn w:val="DefaultParagraphFont"/>
  </w:style>
  <w:style w:type="character" w:customStyle="1" w:styleId="cat-Sumgrp-40rplc-64">
    <w:name w:val="cat-Sum grp-40 rplc-64"/>
    <w:basedOn w:val="DefaultParagraphFont"/>
  </w:style>
  <w:style w:type="character" w:customStyle="1" w:styleId="cat-Addressgrp-5rplc-65">
    <w:name w:val="cat-Address grp-5 rplc-65"/>
    <w:basedOn w:val="DefaultParagraphFont"/>
  </w:style>
  <w:style w:type="character" w:customStyle="1" w:styleId="cat-Addressgrp-9rplc-66">
    <w:name w:val="cat-Address grp-9 rplc-66"/>
    <w:basedOn w:val="DefaultParagraphFont"/>
  </w:style>
  <w:style w:type="character" w:customStyle="1" w:styleId="cat-OrganizationNamegrp-48rplc-67">
    <w:name w:val="cat-OrganizationName grp-48 rplc-67"/>
    <w:basedOn w:val="DefaultParagraphFont"/>
  </w:style>
  <w:style w:type="character" w:customStyle="1" w:styleId="cat-Addressgrp-5rplc-71">
    <w:name w:val="cat-Address grp-5 rplc-71"/>
    <w:basedOn w:val="DefaultParagraphFont"/>
  </w:style>
  <w:style w:type="character" w:customStyle="1" w:styleId="cat-Addressgrp-9rplc-72">
    <w:name w:val="cat-Address grp-9 rplc-72"/>
    <w:basedOn w:val="DefaultParagraphFont"/>
  </w:style>
  <w:style w:type="character" w:customStyle="1" w:styleId="cat-Sumgrp-38rplc-75">
    <w:name w:val="cat-Sum grp-38 rplc-75"/>
    <w:basedOn w:val="DefaultParagraphFont"/>
  </w:style>
  <w:style w:type="character" w:customStyle="1" w:styleId="cat-Sumgrp-39rplc-76">
    <w:name w:val="cat-Sum grp-39 rplc-76"/>
    <w:basedOn w:val="DefaultParagraphFont"/>
  </w:style>
  <w:style w:type="character" w:customStyle="1" w:styleId="cat-OrganizationNamegrp-46rplc-77">
    <w:name w:val="cat-OrganizationName grp-46 rplc-77"/>
    <w:basedOn w:val="DefaultParagraphFont"/>
  </w:style>
  <w:style w:type="character" w:customStyle="1" w:styleId="cat-UserDefinedgrp-51rplc-78">
    <w:name w:val="cat-UserDefined grp-51 rplc-78"/>
    <w:basedOn w:val="DefaultParagraphFont"/>
  </w:style>
  <w:style w:type="character" w:customStyle="1" w:styleId="cat-UserDefinedgrp-53rplc-79">
    <w:name w:val="cat-UserDefined grp-53 rplc-79"/>
    <w:basedOn w:val="DefaultParagraphFont"/>
  </w:style>
  <w:style w:type="character" w:customStyle="1" w:styleId="cat-PassportDatagrp-45rplc-80">
    <w:name w:val="cat-PassportData grp-45 rplc-80"/>
    <w:basedOn w:val="DefaultParagraphFont"/>
  </w:style>
  <w:style w:type="character" w:customStyle="1" w:styleId="cat-ExternalSystemDefinedgrp-50rplc-81">
    <w:name w:val="cat-ExternalSystemDefined grp-50 rplc-81"/>
    <w:basedOn w:val="DefaultParagraphFont"/>
  </w:style>
  <w:style w:type="character" w:customStyle="1" w:styleId="cat-OrganizationNamegrp-46rplc-82">
    <w:name w:val="cat-OrganizationName grp-46 rplc-82"/>
    <w:basedOn w:val="DefaultParagraphFont"/>
  </w:style>
  <w:style w:type="character" w:customStyle="1" w:styleId="cat-Addressgrp-0rplc-83">
    <w:name w:val="cat-Address grp-0 rplc-83"/>
    <w:basedOn w:val="DefaultParagraphFont"/>
  </w:style>
  <w:style w:type="character" w:customStyle="1" w:styleId="cat-UserDefinedgrp-54rplc-84">
    <w:name w:val="cat-UserDefined grp-54 rplc-84"/>
    <w:basedOn w:val="DefaultParagraphFont"/>
  </w:style>
  <w:style w:type="character" w:customStyle="1" w:styleId="cat-UserDefinedgrp-55rplc-85">
    <w:name w:val="cat-UserDefined grp-55 rplc-85"/>
    <w:basedOn w:val="DefaultParagraphFont"/>
  </w:style>
  <w:style w:type="character" w:customStyle="1" w:styleId="cat-Sumgrp-41rplc-86">
    <w:name w:val="cat-Sum grp-41 rplc-86"/>
    <w:basedOn w:val="DefaultParagraphFont"/>
  </w:style>
  <w:style w:type="character" w:customStyle="1" w:styleId="cat-UserDefinedgrp-63rplc-88">
    <w:name w:val="cat-UserDefined grp-63 rplc-88"/>
    <w:basedOn w:val="DefaultParagraphFont"/>
  </w:style>
  <w:style w:type="character" w:customStyle="1" w:styleId="cat-UserDefinedgrp-58rplc-91">
    <w:name w:val="cat-UserDefined grp-58 rplc-91"/>
    <w:basedOn w:val="DefaultParagraphFont"/>
  </w:style>
  <w:style w:type="character" w:customStyle="1" w:styleId="cat-Sumgrp-42rplc-93">
    <w:name w:val="cat-Sum grp-42 rplc-93"/>
    <w:basedOn w:val="DefaultParagraphFont"/>
  </w:style>
  <w:style w:type="character" w:customStyle="1" w:styleId="cat-Sumgrp-43rplc-94">
    <w:name w:val="cat-Sum grp-43 rplc-94"/>
    <w:basedOn w:val="DefaultParagraphFont"/>
  </w:style>
  <w:style w:type="character" w:customStyle="1" w:styleId="cat-Sumgrp-44rplc-95">
    <w:name w:val="cat-Sum grp-44 rplc-95"/>
    <w:basedOn w:val="DefaultParagraphFont"/>
  </w:style>
  <w:style w:type="character" w:customStyle="1" w:styleId="cat-Addressgrp-1rplc-96">
    <w:name w:val="cat-Address grp-1 rplc-96"/>
    <w:basedOn w:val="DefaultParagraphFont"/>
  </w:style>
  <w:style w:type="character" w:customStyle="1" w:styleId="cat-FIOgrp-36rplc-98">
    <w:name w:val="cat-FIO grp-36 rplc-98"/>
    <w:basedOn w:val="DefaultParagraphFont"/>
  </w:style>
  <w:style w:type="character" w:customStyle="1" w:styleId="cat-FIOgrp-36rplc-99">
    <w:name w:val="cat-FIO grp-36 rplc-9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3AFB-1D1B-4C19-A774-5A063F585B4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